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BE" w:rsidRPr="0031223E" w:rsidRDefault="00120D58" w:rsidP="00BA3964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31223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31223E">
        <w:rPr>
          <w:rFonts w:ascii="Arial" w:hAnsi="Arial" w:cs="Arial"/>
          <w:b/>
          <w:sz w:val="23"/>
          <w:szCs w:val="23"/>
        </w:rPr>
        <w:t>0</w:t>
      </w:r>
      <w:r w:rsidR="00F77D83" w:rsidRPr="0031223E">
        <w:rPr>
          <w:rFonts w:ascii="Arial" w:hAnsi="Arial" w:cs="Arial"/>
          <w:b/>
          <w:sz w:val="23"/>
          <w:szCs w:val="23"/>
        </w:rPr>
        <w:t>0</w:t>
      </w:r>
      <w:r w:rsidR="0031223E" w:rsidRPr="0031223E">
        <w:rPr>
          <w:rFonts w:ascii="Arial" w:hAnsi="Arial" w:cs="Arial"/>
          <w:b/>
          <w:sz w:val="23"/>
          <w:szCs w:val="23"/>
        </w:rPr>
        <w:t>2</w:t>
      </w:r>
      <w:r w:rsidRPr="0031223E">
        <w:rPr>
          <w:rFonts w:ascii="Arial" w:hAnsi="Arial" w:cs="Arial"/>
          <w:b/>
          <w:sz w:val="23"/>
          <w:szCs w:val="23"/>
        </w:rPr>
        <w:t>/201</w:t>
      </w:r>
      <w:r w:rsidR="00F77D83" w:rsidRPr="0031223E">
        <w:rPr>
          <w:rFonts w:ascii="Arial" w:hAnsi="Arial" w:cs="Arial"/>
          <w:b/>
          <w:sz w:val="23"/>
          <w:szCs w:val="23"/>
        </w:rPr>
        <w:t>7</w:t>
      </w:r>
    </w:p>
    <w:p w:rsidR="00BA3964" w:rsidRPr="0031223E" w:rsidRDefault="00BA3964" w:rsidP="00BA3964">
      <w:pPr>
        <w:spacing w:line="360" w:lineRule="auto"/>
        <w:ind w:left="2124" w:firstLine="708"/>
        <w:rPr>
          <w:rFonts w:ascii="Arial" w:hAnsi="Arial" w:cs="Arial"/>
          <w:sz w:val="23"/>
          <w:szCs w:val="23"/>
        </w:rPr>
      </w:pPr>
    </w:p>
    <w:p w:rsidR="00DE5800" w:rsidRPr="0031223E" w:rsidRDefault="00C6699F" w:rsidP="0054441B">
      <w:pPr>
        <w:pStyle w:val="TextosemFormatao"/>
        <w:widowControl w:val="0"/>
        <w:spacing w:line="360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31223E">
        <w:rPr>
          <w:rFonts w:ascii="Arial" w:hAnsi="Arial" w:cs="Arial"/>
          <w:sz w:val="22"/>
          <w:szCs w:val="22"/>
        </w:rPr>
        <w:t xml:space="preserve">RECONHECIMENTO DA NULIDADE DA INTIMAÇÃO POR EDITAL. REPETIÇÃO DO ATO INTIMATÓRIO. LANÇAMENTO EFETIVADO COM A LAVRATURA DO AUTO. </w:t>
      </w:r>
      <w:r w:rsidR="00DE5800" w:rsidRPr="0031223E">
        <w:rPr>
          <w:rFonts w:ascii="Arial" w:hAnsi="Arial" w:cs="Arial"/>
          <w:sz w:val="22"/>
          <w:szCs w:val="22"/>
        </w:rPr>
        <w:t>MANUTENÇÃO DA INTEGRALIDADE DO AUTO DE INFRAÇÃO – IRRESIGNAÇÃO DOS REQUERENTES DIRIGIDA TÃO-SOMENTE À FORMAÇÃO DA CDA – FASE ANTERIOR (AUTO DE INFRAÇÃO) QUE NÃO FOI ALVO DE INSURGÊNCIA PELOS REQUERENTES – APLICAÇÃO DO ARTIGO 173, II, DO CÓDIGO TRIBUTÁRIO NACIONAL - DOUTRINA - PRECEDENTES</w:t>
      </w:r>
    </w:p>
    <w:p w:rsidR="00BA3964" w:rsidRDefault="00BA3964" w:rsidP="009F6EA1">
      <w:pPr>
        <w:pStyle w:val="TextosemFormatao"/>
        <w:widowControl w:val="0"/>
        <w:spacing w:line="360" w:lineRule="auto"/>
        <w:ind w:left="2124"/>
        <w:jc w:val="both"/>
        <w:rPr>
          <w:rFonts w:ascii="Arial" w:hAnsi="Arial" w:cs="Arial"/>
          <w:sz w:val="23"/>
          <w:szCs w:val="23"/>
        </w:rPr>
      </w:pPr>
    </w:p>
    <w:p w:rsidR="00D606F6" w:rsidRPr="0031223E" w:rsidRDefault="00D606F6" w:rsidP="00D606F6">
      <w:pPr>
        <w:pStyle w:val="Pr-formataoHTML"/>
        <w:numPr>
          <w:ilvl w:val="0"/>
          <w:numId w:val="7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223E">
        <w:rPr>
          <w:rFonts w:ascii="Arial" w:hAnsi="Arial" w:cs="Arial"/>
          <w:sz w:val="22"/>
          <w:szCs w:val="22"/>
        </w:rPr>
        <w:t>Cuida o art. 173, II do CTN de hipótese em que tenha sido efetuado um lançamento com vício de forma, e este venha a ser anulado</w:t>
      </w:r>
      <w:r w:rsidR="00811E5E" w:rsidRPr="0031223E">
        <w:rPr>
          <w:rFonts w:ascii="Arial" w:hAnsi="Arial" w:cs="Arial"/>
          <w:sz w:val="22"/>
          <w:szCs w:val="22"/>
        </w:rPr>
        <w:t xml:space="preserve"> por decisão </w:t>
      </w:r>
      <w:r w:rsidRPr="0031223E">
        <w:rPr>
          <w:rFonts w:ascii="Arial" w:hAnsi="Arial" w:cs="Arial"/>
          <w:sz w:val="22"/>
          <w:szCs w:val="22"/>
        </w:rPr>
        <w:t>administrativa ou judicial definitiva. Nesse caso, a autoridade administrativa tem novo prazo de cinco anos, contado da data em que se torne definitiva a referida decisão, para efetuar novo lançamento de forma correta.</w:t>
      </w:r>
    </w:p>
    <w:p w:rsidR="00D606F6" w:rsidRPr="0031223E" w:rsidRDefault="00D606F6" w:rsidP="00D606F6">
      <w:pPr>
        <w:pStyle w:val="Pr-formataoHTML"/>
        <w:numPr>
          <w:ilvl w:val="0"/>
          <w:numId w:val="7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Arial" w:hAnsi="Arial" w:cs="Arial"/>
          <w:sz w:val="28"/>
          <w:szCs w:val="22"/>
        </w:rPr>
      </w:pPr>
      <w:r w:rsidRPr="0031223E">
        <w:rPr>
          <w:rFonts w:ascii="Arial" w:hAnsi="Arial" w:cs="Arial"/>
          <w:bCs/>
          <w:sz w:val="22"/>
          <w:szCs w:val="18"/>
        </w:rPr>
        <w:t>A nulidade da intimação do sujeito passivo quanto ao resultado do processo administrativo fiscal conduz apenas à reiteração do ato, não tendo o condão de macular o iter do processo administrativo em si, menos ainda o lançamento do crédito tributário</w:t>
      </w:r>
      <w:r w:rsidRPr="0031223E">
        <w:rPr>
          <w:rFonts w:ascii="Arial" w:hAnsi="Arial" w:cs="Arial"/>
          <w:sz w:val="22"/>
          <w:szCs w:val="18"/>
        </w:rPr>
        <w:t>, pois este já se efetivou em momento muito anterior, de ofício, por meio do auto de infração por infringência de legislação tributária.</w:t>
      </w:r>
    </w:p>
    <w:p w:rsidR="00DF3882" w:rsidRPr="0031223E" w:rsidRDefault="00811E5E" w:rsidP="00D606F6">
      <w:pPr>
        <w:pStyle w:val="Pr-formataoHTML"/>
        <w:numPr>
          <w:ilvl w:val="0"/>
          <w:numId w:val="7"/>
        </w:numPr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360" w:lineRule="auto"/>
        <w:jc w:val="both"/>
        <w:rPr>
          <w:rFonts w:ascii="Arial" w:hAnsi="Arial" w:cs="Arial"/>
          <w:sz w:val="36"/>
          <w:szCs w:val="22"/>
        </w:rPr>
      </w:pPr>
      <w:r w:rsidRPr="0031223E">
        <w:rPr>
          <w:rFonts w:ascii="Arial" w:hAnsi="Arial" w:cs="Arial"/>
          <w:sz w:val="22"/>
          <w:szCs w:val="18"/>
        </w:rPr>
        <w:t xml:space="preserve"> É juridicamente possível, anuladas as intimações realizadas por edital,</w:t>
      </w:r>
      <w:r w:rsidR="00DF3882" w:rsidRPr="0031223E">
        <w:rPr>
          <w:rFonts w:ascii="Arial" w:hAnsi="Arial" w:cs="Arial"/>
          <w:sz w:val="22"/>
          <w:szCs w:val="18"/>
        </w:rPr>
        <w:t xml:space="preserve"> a reabertura dos procedimentos administrativos correspondentes</w:t>
      </w:r>
      <w:r w:rsidR="008E7D49" w:rsidRPr="0031223E">
        <w:rPr>
          <w:rFonts w:ascii="Arial" w:hAnsi="Arial" w:cs="Arial"/>
          <w:sz w:val="22"/>
          <w:szCs w:val="18"/>
        </w:rPr>
        <w:t>,</w:t>
      </w:r>
      <w:r w:rsidRPr="0031223E">
        <w:rPr>
          <w:rFonts w:ascii="Arial" w:hAnsi="Arial" w:cs="Arial"/>
          <w:sz w:val="22"/>
          <w:szCs w:val="18"/>
        </w:rPr>
        <w:t xml:space="preserve"> visto que</w:t>
      </w:r>
      <w:r w:rsidR="008E7D49" w:rsidRPr="0031223E">
        <w:rPr>
          <w:rFonts w:ascii="Arial" w:hAnsi="Arial" w:cs="Arial"/>
          <w:sz w:val="22"/>
          <w:szCs w:val="18"/>
        </w:rPr>
        <w:t xml:space="preserve"> </w:t>
      </w:r>
      <w:r w:rsidR="00DF3882" w:rsidRPr="0031223E">
        <w:rPr>
          <w:rFonts w:ascii="Arial" w:hAnsi="Arial" w:cs="Arial"/>
          <w:sz w:val="22"/>
          <w:szCs w:val="18"/>
        </w:rPr>
        <w:t xml:space="preserve">nulidade do procedimento administrativo, pela falta da notificação do sujeito passivo, não atinge o auto de infração contra ele lavrado, podendo a autoridade tributária, observado o prazo decadencial previsto no artigo </w:t>
      </w:r>
      <w:proofErr w:type="gramStart"/>
      <w:r w:rsidR="00DF3882" w:rsidRPr="0031223E">
        <w:rPr>
          <w:rFonts w:ascii="Arial" w:hAnsi="Arial" w:cs="Arial"/>
          <w:sz w:val="22"/>
          <w:szCs w:val="18"/>
        </w:rPr>
        <w:t>173,II</w:t>
      </w:r>
      <w:proofErr w:type="gramEnd"/>
      <w:r w:rsidR="00DF3882" w:rsidRPr="0031223E">
        <w:rPr>
          <w:rFonts w:ascii="Arial" w:hAnsi="Arial" w:cs="Arial"/>
          <w:sz w:val="22"/>
          <w:szCs w:val="18"/>
        </w:rPr>
        <w:t xml:space="preserve"> do CTN, repetir o procedimento, respeitando os princípios do contraditório e da ampla defesa</w:t>
      </w:r>
      <w:r w:rsidR="0095504D" w:rsidRPr="0031223E">
        <w:rPr>
          <w:rFonts w:ascii="Arial" w:hAnsi="Arial" w:cs="Arial"/>
          <w:sz w:val="22"/>
          <w:szCs w:val="18"/>
        </w:rPr>
        <w:t>.</w:t>
      </w:r>
    </w:p>
    <w:p w:rsidR="00D606F6" w:rsidRPr="0031223E" w:rsidRDefault="00D606F6" w:rsidP="00D606F6">
      <w:pPr>
        <w:pStyle w:val="Corpodapetio"/>
        <w:shd w:val="clear" w:color="auto" w:fill="FFFFFF" w:themeFill="background1"/>
        <w:spacing w:before="240" w:after="240"/>
        <w:ind w:firstLine="0"/>
        <w:rPr>
          <w:rFonts w:ascii="Arial" w:hAnsi="Arial" w:cs="Arial"/>
          <w:sz w:val="23"/>
          <w:szCs w:val="23"/>
        </w:rPr>
      </w:pPr>
    </w:p>
    <w:p w:rsidR="00DC5BE2" w:rsidRPr="00DC5BE2" w:rsidRDefault="00BB2549" w:rsidP="00DC5BE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D606F6">
        <w:rPr>
          <w:rFonts w:ascii="Arial" w:hAnsi="Arial" w:cs="Arial"/>
          <w:b/>
          <w:sz w:val="23"/>
          <w:szCs w:val="23"/>
        </w:rPr>
        <w:t xml:space="preserve">O CONSELHO DA PROCURADORIA GERAL DO ESTADO, </w:t>
      </w:r>
      <w:r w:rsidRPr="00D606F6">
        <w:rPr>
          <w:rFonts w:ascii="Arial" w:hAnsi="Arial" w:cs="Arial"/>
          <w:sz w:val="23"/>
          <w:szCs w:val="23"/>
        </w:rPr>
        <w:t xml:space="preserve">em reunião realizada em </w:t>
      </w:r>
      <w:r w:rsidR="0031223E">
        <w:rPr>
          <w:rFonts w:ascii="Arial" w:hAnsi="Arial" w:cs="Arial"/>
          <w:sz w:val="23"/>
          <w:szCs w:val="23"/>
        </w:rPr>
        <w:t>12/01/2017</w:t>
      </w:r>
      <w:r w:rsidRPr="00D606F6">
        <w:rPr>
          <w:rFonts w:ascii="Arial" w:hAnsi="Arial" w:cs="Arial"/>
          <w:sz w:val="23"/>
          <w:szCs w:val="23"/>
        </w:rPr>
        <w:t xml:space="preserve">, deliberou, por unanimidade, aprovar o voto do Conselheiro Relator, Dr. </w:t>
      </w:r>
      <w:r w:rsidR="00DF3882">
        <w:rPr>
          <w:rFonts w:ascii="Arial" w:hAnsi="Arial" w:cs="Arial"/>
          <w:sz w:val="23"/>
          <w:szCs w:val="23"/>
        </w:rPr>
        <w:t xml:space="preserve">José </w:t>
      </w:r>
      <w:r w:rsidR="00DF3882">
        <w:rPr>
          <w:rFonts w:ascii="Arial" w:hAnsi="Arial" w:cs="Arial"/>
          <w:sz w:val="23"/>
          <w:szCs w:val="23"/>
        </w:rPr>
        <w:lastRenderedPageBreak/>
        <w:t>Alexandre Rezende Bellote</w:t>
      </w:r>
      <w:r w:rsidRPr="00D606F6">
        <w:rPr>
          <w:rFonts w:ascii="Arial" w:hAnsi="Arial" w:cs="Arial"/>
          <w:sz w:val="23"/>
          <w:szCs w:val="23"/>
        </w:rPr>
        <w:t>, nos autos do Processo Administrativo nº</w:t>
      </w:r>
      <w:r w:rsidR="00F770A7" w:rsidRPr="00D606F6">
        <w:rPr>
          <w:rFonts w:ascii="Arial" w:hAnsi="Arial" w:cs="Arial"/>
          <w:sz w:val="23"/>
          <w:szCs w:val="23"/>
        </w:rPr>
        <w:t xml:space="preserve"> </w:t>
      </w:r>
      <w:r w:rsidR="00DC5BE2">
        <w:rPr>
          <w:rFonts w:ascii="Arial" w:hAnsi="Arial" w:cs="Arial"/>
          <w:sz w:val="23"/>
          <w:szCs w:val="23"/>
        </w:rPr>
        <w:t>60976730,</w:t>
      </w:r>
      <w:r w:rsidR="00DC5BE2" w:rsidRPr="00DC5BE2">
        <w:rPr>
          <w:rFonts w:ascii="Arial" w:hAnsi="Arial" w:cs="Arial"/>
          <w:sz w:val="23"/>
          <w:szCs w:val="23"/>
        </w:rPr>
        <w:t xml:space="preserve"> em que se discutia a </w:t>
      </w:r>
      <w:r w:rsidR="00DC5BE2">
        <w:rPr>
          <w:rFonts w:ascii="Arial" w:hAnsi="Arial" w:cs="Arial"/>
          <w:sz w:val="23"/>
          <w:szCs w:val="23"/>
        </w:rPr>
        <w:t>Impugnação do auto de infração nº 1.985.197-5.</w:t>
      </w:r>
      <w:r w:rsidR="00DC5BE2" w:rsidRPr="00DC5BE2">
        <w:rPr>
          <w:rFonts w:ascii="Arial" w:hAnsi="Arial" w:cs="Arial"/>
          <w:sz w:val="23"/>
          <w:szCs w:val="23"/>
        </w:rPr>
        <w:t xml:space="preserve"> </w:t>
      </w:r>
    </w:p>
    <w:p w:rsidR="0031223E" w:rsidRDefault="0031223E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120D58" w:rsidRPr="00F807AE" w:rsidRDefault="00120D58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F807AE">
        <w:rPr>
          <w:rFonts w:ascii="Arial" w:hAnsi="Arial" w:cs="Arial"/>
          <w:sz w:val="23"/>
          <w:szCs w:val="23"/>
        </w:rPr>
        <w:t>Vitória-ES,</w:t>
      </w:r>
      <w:r w:rsidR="0031223E">
        <w:rPr>
          <w:rFonts w:ascii="Arial" w:hAnsi="Arial" w:cs="Arial"/>
          <w:sz w:val="23"/>
          <w:szCs w:val="23"/>
        </w:rPr>
        <w:t>20 de março de 2017.</w:t>
      </w:r>
    </w:p>
    <w:p w:rsidR="009F6EA1" w:rsidRDefault="009F6EA1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9417F" w:rsidRPr="00F807AE" w:rsidRDefault="0069417F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 xml:space="preserve">RODRIGO </w:t>
      </w:r>
      <w:r w:rsidR="00F807AE" w:rsidRPr="00F807AE">
        <w:rPr>
          <w:rFonts w:ascii="Arial" w:hAnsi="Arial" w:cs="Arial"/>
          <w:b/>
          <w:sz w:val="23"/>
          <w:szCs w:val="23"/>
        </w:rPr>
        <w:t>RABELLO VIEIRA</w:t>
      </w: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>Presidente do Conselho/PGE</w:t>
      </w:r>
    </w:p>
    <w:sectPr w:rsidR="00120D58" w:rsidRPr="00F807AE" w:rsidSect="004E2B08">
      <w:headerReference w:type="default" r:id="rId8"/>
      <w:footerReference w:type="even" r:id="rId9"/>
      <w:footerReference w:type="default" r:id="rId10"/>
      <w:pgSz w:w="11907" w:h="16840" w:code="9"/>
      <w:pgMar w:top="2422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EF" w:rsidRDefault="001535EF">
      <w:r>
        <w:separator/>
      </w:r>
    </w:p>
  </w:endnote>
  <w:endnote w:type="continuationSeparator" w:id="0">
    <w:p w:rsidR="001535EF" w:rsidRDefault="001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4E2B08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>: (27) 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EF" w:rsidRDefault="001535EF">
      <w:r>
        <w:separator/>
      </w:r>
    </w:p>
  </w:footnote>
  <w:footnote w:type="continuationSeparator" w:id="0">
    <w:p w:rsidR="001535EF" w:rsidRDefault="0015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6F2F844E" wp14:editId="0CF3A896">
          <wp:extent cx="629285" cy="600075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32EC7" w:rsidRDefault="00A32EC7" w:rsidP="00A32EC7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Estado do Espírito Santo</w:t>
    </w:r>
  </w:p>
  <w:p w:rsidR="00A32EC7" w:rsidRPr="0095504D" w:rsidRDefault="00A32EC7" w:rsidP="0095504D">
    <w:pPr>
      <w:tabs>
        <w:tab w:val="center" w:pos="4252"/>
        <w:tab w:val="right" w:pos="8504"/>
      </w:tabs>
      <w:jc w:val="center"/>
      <w:rPr>
        <w:rFonts w:ascii="Bookman Old Style" w:hAnsi="Bookman Old Style" w:cs="Bookman Old Style"/>
        <w:sz w:val="20"/>
        <w:szCs w:val="20"/>
      </w:rPr>
    </w:pPr>
    <w:r>
      <w:rPr>
        <w:rFonts w:ascii="Bookman Old Style" w:hAnsi="Bookman Old Style" w:cs="Bookman Old Style"/>
        <w:sz w:val="20"/>
        <w:szCs w:val="20"/>
      </w:rPr>
      <w:t>Procuradoria Geral do Estado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15A7688C"/>
    <w:multiLevelType w:val="hybridMultilevel"/>
    <w:tmpl w:val="AEB4AC12"/>
    <w:lvl w:ilvl="0" w:tplc="EB76AAA2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F580540"/>
    <w:multiLevelType w:val="hybridMultilevel"/>
    <w:tmpl w:val="E5E41BDE"/>
    <w:lvl w:ilvl="0" w:tplc="0FDA7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BE"/>
    <w:rsid w:val="0006744D"/>
    <w:rsid w:val="00115A28"/>
    <w:rsid w:val="00120D58"/>
    <w:rsid w:val="00133DB2"/>
    <w:rsid w:val="001535EF"/>
    <w:rsid w:val="001F42AF"/>
    <w:rsid w:val="001F596B"/>
    <w:rsid w:val="00224D4C"/>
    <w:rsid w:val="00235806"/>
    <w:rsid w:val="002557CF"/>
    <w:rsid w:val="00293F05"/>
    <w:rsid w:val="002E1A57"/>
    <w:rsid w:val="00301D79"/>
    <w:rsid w:val="0031223E"/>
    <w:rsid w:val="00323361"/>
    <w:rsid w:val="0033156A"/>
    <w:rsid w:val="00371E12"/>
    <w:rsid w:val="003F6248"/>
    <w:rsid w:val="004319E0"/>
    <w:rsid w:val="00492D6D"/>
    <w:rsid w:val="004E2B08"/>
    <w:rsid w:val="004E4790"/>
    <w:rsid w:val="00515730"/>
    <w:rsid w:val="0054441B"/>
    <w:rsid w:val="005636DD"/>
    <w:rsid w:val="005E674C"/>
    <w:rsid w:val="00661266"/>
    <w:rsid w:val="0069417F"/>
    <w:rsid w:val="006A4187"/>
    <w:rsid w:val="006F24CA"/>
    <w:rsid w:val="00700E62"/>
    <w:rsid w:val="0070700A"/>
    <w:rsid w:val="00774DAC"/>
    <w:rsid w:val="007825D0"/>
    <w:rsid w:val="0079421D"/>
    <w:rsid w:val="007C4ABE"/>
    <w:rsid w:val="007E5BF6"/>
    <w:rsid w:val="00811E5E"/>
    <w:rsid w:val="008572FA"/>
    <w:rsid w:val="008A405D"/>
    <w:rsid w:val="008D28B9"/>
    <w:rsid w:val="008E31D0"/>
    <w:rsid w:val="008E7D49"/>
    <w:rsid w:val="0095504D"/>
    <w:rsid w:val="009869EA"/>
    <w:rsid w:val="009F6EA1"/>
    <w:rsid w:val="00A13402"/>
    <w:rsid w:val="00A32EC7"/>
    <w:rsid w:val="00B27428"/>
    <w:rsid w:val="00B8292E"/>
    <w:rsid w:val="00B963A8"/>
    <w:rsid w:val="00BA3964"/>
    <w:rsid w:val="00BB2549"/>
    <w:rsid w:val="00BB7C48"/>
    <w:rsid w:val="00BE473F"/>
    <w:rsid w:val="00C61368"/>
    <w:rsid w:val="00C66924"/>
    <w:rsid w:val="00C6699F"/>
    <w:rsid w:val="00C770EA"/>
    <w:rsid w:val="00CF71D1"/>
    <w:rsid w:val="00D07B7C"/>
    <w:rsid w:val="00D24A35"/>
    <w:rsid w:val="00D25F66"/>
    <w:rsid w:val="00D606F6"/>
    <w:rsid w:val="00DC5BE2"/>
    <w:rsid w:val="00DD66C7"/>
    <w:rsid w:val="00DE4906"/>
    <w:rsid w:val="00DE5800"/>
    <w:rsid w:val="00DF3882"/>
    <w:rsid w:val="00EB4593"/>
    <w:rsid w:val="00F02942"/>
    <w:rsid w:val="00F24601"/>
    <w:rsid w:val="00F47884"/>
    <w:rsid w:val="00F76C2B"/>
    <w:rsid w:val="00F770A7"/>
    <w:rsid w:val="00F77D83"/>
    <w:rsid w:val="00F807AE"/>
    <w:rsid w:val="00FB67C1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821054"/>
  <w15:docId w15:val="{737DE9C1-A151-4203-AF19-5040BCA8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D60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06F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5B879-E12B-459F-B0A3-BE77E165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3</cp:revision>
  <cp:lastPrinted>2017-03-17T11:35:00Z</cp:lastPrinted>
  <dcterms:created xsi:type="dcterms:W3CDTF">2017-03-20T22:01:00Z</dcterms:created>
  <dcterms:modified xsi:type="dcterms:W3CDTF">2017-03-20T22:01:00Z</dcterms:modified>
</cp:coreProperties>
</file>